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F1C034" w14:textId="77777777" w:rsidR="00220DBD" w:rsidRDefault="00202BAE">
      <w:pPr>
        <w:pStyle w:val="Title"/>
        <w:contextualSpacing w:val="0"/>
      </w:pPr>
      <w:bookmarkStart w:id="0" w:name="h.ryvw2g9tx3cm" w:colFirst="0" w:colLast="0"/>
      <w:bookmarkStart w:id="1" w:name="_GoBack"/>
      <w:bookmarkEnd w:id="0"/>
      <w:bookmarkEnd w:id="1"/>
      <w:r w:rsidRPr="00BC7B8E">
        <w:rPr>
          <w:noProof/>
          <w:color w:val="000000" w:themeColor="text1"/>
        </w:rPr>
        <w:drawing>
          <wp:anchor distT="19050" distB="19050" distL="19050" distR="19050" simplePos="0" relativeHeight="251658240" behindDoc="0" locked="0" layoutInCell="0" allowOverlap="0" wp14:anchorId="3406493D" wp14:editId="71910E47">
            <wp:simplePos x="0" y="0"/>
            <wp:positionH relativeFrom="margin">
              <wp:posOffset>47102</wp:posOffset>
            </wp:positionH>
            <wp:positionV relativeFrom="paragraph">
              <wp:posOffset>35</wp:posOffset>
            </wp:positionV>
            <wp:extent cx="1831340" cy="1004570"/>
            <wp:effectExtent l="0" t="0" r="0" b="0"/>
            <wp:wrapTopAndBottom distT="19050" distB="1905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004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162D" w:rsidRPr="00BC7B8E">
        <w:rPr>
          <w:color w:val="000000" w:themeColor="text1"/>
        </w:rPr>
        <w:t>MORGAN COUNTY D.A.</w:t>
      </w:r>
    </w:p>
    <w:tbl>
      <w:tblPr>
        <w:tblStyle w:val="4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8535"/>
      </w:tblGrid>
      <w:tr w:rsidR="00220DBD" w14:paraId="4C172DD6" w14:textId="77777777">
        <w:tc>
          <w:tcPr>
            <w:tcW w:w="2910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82D9" w14:textId="77777777" w:rsidR="00220DBD" w:rsidRDefault="004A162D">
            <w:pPr>
              <w:pStyle w:val="Heading3"/>
              <w:ind w:left="0"/>
              <w:contextualSpacing w:val="0"/>
            </w:pPr>
            <w:bookmarkStart w:id="2" w:name="h.a9k81bsakki4" w:colFirst="0" w:colLast="0"/>
            <w:bookmarkEnd w:id="2"/>
            <w:r>
              <w:t>CONTACT</w:t>
            </w:r>
          </w:p>
          <w:p w14:paraId="1413B7B2" w14:textId="77777777" w:rsidR="00220DBD" w:rsidRPr="00BC7B8E" w:rsidRDefault="004A162D">
            <w:pPr>
              <w:pStyle w:val="Normal1"/>
              <w:spacing w:line="276" w:lineRule="auto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  <w:sz w:val="16"/>
              </w:rPr>
              <w:t>Stacy W. Adams</w:t>
            </w:r>
          </w:p>
          <w:p w14:paraId="537ADAB0" w14:textId="77777777" w:rsidR="00220DBD" w:rsidRPr="00BC7B8E" w:rsidRDefault="004A162D">
            <w:pPr>
              <w:pStyle w:val="Normal1"/>
              <w:spacing w:line="276" w:lineRule="auto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  <w:sz w:val="16"/>
              </w:rPr>
              <w:t>Assistant D.A.</w:t>
            </w:r>
          </w:p>
          <w:p w14:paraId="2B248687" w14:textId="77777777" w:rsidR="00220DBD" w:rsidRPr="00BC7B8E" w:rsidRDefault="004A162D">
            <w:pPr>
              <w:pStyle w:val="Normal1"/>
              <w:spacing w:line="276" w:lineRule="auto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  <w:sz w:val="16"/>
              </w:rPr>
              <w:t>(256) 351-4610</w:t>
            </w:r>
          </w:p>
          <w:p w14:paraId="3349B4CC" w14:textId="77777777" w:rsidR="00220DBD" w:rsidRPr="00BC7B8E" w:rsidRDefault="004A162D">
            <w:pPr>
              <w:pStyle w:val="Normal1"/>
              <w:spacing w:line="276" w:lineRule="auto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  <w:sz w:val="16"/>
              </w:rPr>
              <w:t>(256) 351-4607</w:t>
            </w:r>
          </w:p>
          <w:p w14:paraId="2DA9C217" w14:textId="77777777" w:rsidR="00220DBD" w:rsidRPr="00BC7B8E" w:rsidRDefault="004A162D">
            <w:pPr>
              <w:pStyle w:val="Normal1"/>
              <w:spacing w:line="276" w:lineRule="auto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  <w:sz w:val="16"/>
              </w:rPr>
              <w:t>morgan.da@morgancountyda.com</w:t>
            </w:r>
          </w:p>
          <w:p w14:paraId="6487A6DF" w14:textId="77777777" w:rsidR="00220DBD" w:rsidRDefault="004A162D">
            <w:pPr>
              <w:pStyle w:val="Normal1"/>
              <w:spacing w:line="276" w:lineRule="auto"/>
              <w:contextualSpacing w:val="0"/>
            </w:pPr>
            <w:r w:rsidRPr="00BC7B8E">
              <w:rPr>
                <w:color w:val="000000" w:themeColor="text1"/>
                <w:sz w:val="16"/>
              </w:rPr>
              <w:t>www.morgancountyda.com</w:t>
            </w:r>
          </w:p>
        </w:tc>
        <w:tc>
          <w:tcPr>
            <w:tcW w:w="8535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9B3E5" w14:textId="77777777" w:rsidR="00220DBD" w:rsidRDefault="004A162D">
            <w:pPr>
              <w:pStyle w:val="Subtitle"/>
              <w:contextualSpacing w:val="0"/>
            </w:pPr>
            <w:bookmarkStart w:id="3" w:name="h.s6110ki0qhdn" w:colFirst="0" w:colLast="0"/>
            <w:bookmarkEnd w:id="3"/>
            <w:r>
              <w:t>FOR IMMEDIATE RELEASE</w:t>
            </w:r>
          </w:p>
        </w:tc>
      </w:tr>
    </w:tbl>
    <w:p w14:paraId="304635D2" w14:textId="12097185" w:rsidR="00220DBD" w:rsidRDefault="00220DBD">
      <w:pPr>
        <w:pStyle w:val="Normal1"/>
        <w:contextualSpacing w:val="0"/>
      </w:pPr>
    </w:p>
    <w:p w14:paraId="0F54A368" w14:textId="62054B6A" w:rsidR="000F11F3" w:rsidRPr="000F11F3" w:rsidRDefault="000F11F3">
      <w:pPr>
        <w:pStyle w:val="Normal1"/>
        <w:contextualSpacing w:val="0"/>
        <w:rPr>
          <w:color w:val="000000" w:themeColor="text1"/>
          <w:sz w:val="28"/>
          <w:szCs w:val="28"/>
          <w:u w:val="single"/>
        </w:rPr>
      </w:pPr>
      <w:r w:rsidRPr="000F11F3">
        <w:rPr>
          <w:color w:val="000000" w:themeColor="text1"/>
          <w:sz w:val="28"/>
          <w:szCs w:val="28"/>
          <w:u w:val="single"/>
        </w:rPr>
        <w:t>PRESS RELEASE</w:t>
      </w:r>
    </w:p>
    <w:p w14:paraId="591F47A8" w14:textId="31690017" w:rsidR="000F11F3" w:rsidRDefault="000F11F3" w:rsidP="000F11F3">
      <w:pPr>
        <w:pStyle w:val="Normal1"/>
        <w:ind w:left="0"/>
        <w:contextualSpacing w:val="0"/>
      </w:pPr>
    </w:p>
    <w:tbl>
      <w:tblPr>
        <w:tblStyle w:val="3"/>
        <w:tblW w:w="11670" w:type="dxa"/>
        <w:tblLayout w:type="fixed"/>
        <w:tblLook w:val="0600" w:firstRow="0" w:lastRow="0" w:firstColumn="0" w:lastColumn="0" w:noHBand="1" w:noVBand="1"/>
      </w:tblPr>
      <w:tblGrid>
        <w:gridCol w:w="1815"/>
        <w:gridCol w:w="9855"/>
      </w:tblGrid>
      <w:tr w:rsidR="000F11F3" w:rsidRPr="00BC7B8E" w14:paraId="0AA483A7" w14:textId="77777777">
        <w:trPr>
          <w:trHeight w:val="1640"/>
        </w:trPr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9348" w14:textId="77777777" w:rsidR="00220DBD" w:rsidRPr="00BC7B8E" w:rsidRDefault="00220DBD">
            <w:pPr>
              <w:pStyle w:val="Normal1"/>
              <w:contextualSpacing w:val="0"/>
              <w:rPr>
                <w:color w:val="000000" w:themeColor="text1"/>
              </w:rPr>
            </w:pPr>
          </w:p>
        </w:tc>
        <w:tc>
          <w:tcPr>
            <w:tcW w:w="9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0B46" w14:textId="77777777" w:rsidR="000F11F3" w:rsidRDefault="000F11F3" w:rsidP="000F11F3">
            <w:pPr>
              <w:pStyle w:val="Heading1"/>
              <w:ind w:left="0"/>
              <w:contextualSpacing w:val="0"/>
              <w:rPr>
                <w:color w:val="000000" w:themeColor="text1"/>
              </w:rPr>
            </w:pPr>
            <w:bookmarkStart w:id="4" w:name="h.7filx3okag2d" w:colFirst="0" w:colLast="0"/>
            <w:bookmarkEnd w:id="4"/>
          </w:p>
          <w:p w14:paraId="559DEA67" w14:textId="2B76B4A9" w:rsidR="00220DBD" w:rsidRDefault="00383BCD">
            <w:pPr>
              <w:pStyle w:val="Heading1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</w:rPr>
              <w:t>Morgan Jury Among First to Reject Sentencing Guidelines</w:t>
            </w:r>
          </w:p>
          <w:p w14:paraId="26364291" w14:textId="5D953920" w:rsidR="00220DBD" w:rsidRPr="000F11F3" w:rsidRDefault="000F11F3" w:rsidP="000F11F3">
            <w:pPr>
              <w:pStyle w:val="Normal1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F11F3">
              <w:rPr>
                <w:i/>
                <w:iCs/>
                <w:color w:val="000000" w:themeColor="text1"/>
                <w:sz w:val="28"/>
                <w:szCs w:val="28"/>
              </w:rPr>
              <w:t>Car Dealership Owner Faces Maximum Sentence of 99 Years to Life</w:t>
            </w:r>
            <w:bookmarkStart w:id="5" w:name="h.ao0gq3cw4dcg" w:colFirst="0" w:colLast="0"/>
            <w:bookmarkEnd w:id="5"/>
          </w:p>
        </w:tc>
      </w:tr>
    </w:tbl>
    <w:p w14:paraId="645B6260" w14:textId="77777777" w:rsidR="00220DBD" w:rsidRPr="00BC7B8E" w:rsidRDefault="00220DBD">
      <w:pPr>
        <w:pStyle w:val="Normal1"/>
        <w:ind w:left="0"/>
        <w:contextualSpacing w:val="0"/>
        <w:rPr>
          <w:color w:val="000000" w:themeColor="text1"/>
        </w:rPr>
      </w:pPr>
    </w:p>
    <w:tbl>
      <w:tblPr>
        <w:tblStyle w:val="2"/>
        <w:tblW w:w="11040" w:type="dxa"/>
        <w:tblLayout w:type="fixed"/>
        <w:tblLook w:val="0600" w:firstRow="0" w:lastRow="0" w:firstColumn="0" w:lastColumn="0" w:noHBand="1" w:noVBand="1"/>
      </w:tblPr>
      <w:tblGrid>
        <w:gridCol w:w="1815"/>
        <w:gridCol w:w="9225"/>
      </w:tblGrid>
      <w:tr w:rsidR="00BC7B8E" w:rsidRPr="00BC7B8E" w14:paraId="4C307F02" w14:textId="77777777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EC5F" w14:textId="77777777" w:rsidR="00220DBD" w:rsidRPr="00BC7B8E" w:rsidRDefault="00220DBD">
            <w:pPr>
              <w:pStyle w:val="Normal1"/>
              <w:contextualSpacing w:val="0"/>
              <w:rPr>
                <w:color w:val="000000" w:themeColor="text1"/>
              </w:rPr>
            </w:pPr>
          </w:p>
        </w:tc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5CD5" w14:textId="3367A83F" w:rsidR="00F13095" w:rsidRDefault="000F11F3" w:rsidP="00F13095">
            <w:pPr>
              <w:pStyle w:val="Normal1"/>
              <w:contextualSpacing w:val="0"/>
              <w:rPr>
                <w:color w:val="000000" w:themeColor="text1"/>
              </w:rPr>
            </w:pPr>
            <w:r w:rsidRPr="000F11F3">
              <w:rPr>
                <w:b/>
                <w:bCs/>
                <w:color w:val="000000" w:themeColor="text1"/>
              </w:rPr>
              <w:t>DECATUR</w:t>
            </w:r>
            <w:r w:rsidR="004A162D" w:rsidRPr="000F11F3">
              <w:rPr>
                <w:b/>
                <w:bCs/>
                <w:color w:val="000000" w:themeColor="text1"/>
              </w:rPr>
              <w:t xml:space="preserve">, </w:t>
            </w:r>
            <w:r w:rsidR="00FD2DC0" w:rsidRPr="000F11F3">
              <w:rPr>
                <w:b/>
                <w:bCs/>
                <w:color w:val="000000" w:themeColor="text1"/>
              </w:rPr>
              <w:t>A</w:t>
            </w:r>
            <w:r w:rsidRPr="000F11F3">
              <w:rPr>
                <w:b/>
                <w:bCs/>
                <w:color w:val="000000" w:themeColor="text1"/>
              </w:rPr>
              <w:t>la</w:t>
            </w:r>
            <w:r w:rsidR="00FD2DC0" w:rsidRPr="000F11F3">
              <w:rPr>
                <w:b/>
                <w:bCs/>
                <w:color w:val="000000" w:themeColor="text1"/>
              </w:rPr>
              <w:t xml:space="preserve">, </w:t>
            </w:r>
            <w:r w:rsidR="00383BCD" w:rsidRPr="000F11F3">
              <w:rPr>
                <w:b/>
                <w:bCs/>
                <w:color w:val="000000" w:themeColor="text1"/>
              </w:rPr>
              <w:t>Feb</w:t>
            </w:r>
            <w:r w:rsidRPr="000F11F3">
              <w:rPr>
                <w:b/>
                <w:bCs/>
                <w:color w:val="000000" w:themeColor="text1"/>
              </w:rPr>
              <w:t>.</w:t>
            </w:r>
            <w:r w:rsidR="00383BCD" w:rsidRPr="000F11F3">
              <w:rPr>
                <w:b/>
                <w:bCs/>
                <w:color w:val="000000" w:themeColor="text1"/>
              </w:rPr>
              <w:t xml:space="preserve"> </w:t>
            </w:r>
            <w:r w:rsidR="008B0C22" w:rsidRPr="000F11F3">
              <w:rPr>
                <w:b/>
                <w:bCs/>
                <w:color w:val="000000" w:themeColor="text1"/>
              </w:rPr>
              <w:t>6</w:t>
            </w:r>
            <w:r w:rsidR="00383BCD" w:rsidRPr="000F11F3">
              <w:rPr>
                <w:b/>
                <w:bCs/>
                <w:color w:val="000000" w:themeColor="text1"/>
              </w:rPr>
              <w:t>, 2020</w:t>
            </w:r>
            <w:r w:rsidR="004A162D" w:rsidRPr="00BC7B8E">
              <w:rPr>
                <w:color w:val="000000" w:themeColor="text1"/>
              </w:rPr>
              <w:t xml:space="preserve"> —</w:t>
            </w:r>
            <w:r w:rsidR="0037127E" w:rsidRPr="00BC7B8E">
              <w:rPr>
                <w:color w:val="000000" w:themeColor="text1"/>
              </w:rPr>
              <w:t xml:space="preserve"> </w:t>
            </w:r>
            <w:r w:rsidR="00F13095">
              <w:rPr>
                <w:color w:val="000000" w:themeColor="text1"/>
              </w:rPr>
              <w:t xml:space="preserve">The owner of a former Decatur car dealership faces a maximum sentence of 99 years or life in prison after a Morgan County jury on Thursday found there were aggravating factors to the multiple fraud-related charges to which he pled guilty, Morgan County District Attorney Scott Anderson announced. </w:t>
            </w:r>
          </w:p>
          <w:p w14:paraId="16F5F065" w14:textId="77777777" w:rsidR="00F13095" w:rsidRDefault="00F13095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7E50B3B0" w14:textId="7AEF77B0" w:rsidR="00F13095" w:rsidRDefault="00F13095" w:rsidP="00F13095">
            <w:pPr>
              <w:pStyle w:val="Normal1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</w:rPr>
              <w:t>Gregory Ray Steenson, 50</w:t>
            </w:r>
            <w:r>
              <w:rPr>
                <w:color w:val="000000" w:themeColor="text1"/>
              </w:rPr>
              <w:t>,</w:t>
            </w:r>
            <w:r w:rsidRPr="00BC7B8E">
              <w:rPr>
                <w:color w:val="000000" w:themeColor="text1"/>
              </w:rPr>
              <w:t xml:space="preserve"> of Decatur</w:t>
            </w:r>
            <w:r w:rsidR="000F11F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defrauded victims out of more than $134,000, Anderson said. </w:t>
            </w:r>
          </w:p>
          <w:p w14:paraId="38A2954B" w14:textId="088861E4" w:rsidR="00F13095" w:rsidRDefault="00F13095" w:rsidP="00F13095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 pled</w:t>
            </w:r>
            <w:r w:rsidR="00ED51B0" w:rsidRPr="00BC7B8E">
              <w:rPr>
                <w:color w:val="000000" w:themeColor="text1"/>
              </w:rPr>
              <w:t xml:space="preserve"> guilty to </w:t>
            </w:r>
            <w:r>
              <w:rPr>
                <w:color w:val="000000" w:themeColor="text1"/>
              </w:rPr>
              <w:t>T</w:t>
            </w:r>
            <w:r w:rsidR="00ED51B0" w:rsidRPr="00BC7B8E">
              <w:rPr>
                <w:color w:val="000000" w:themeColor="text1"/>
              </w:rPr>
              <w:t xml:space="preserve">heft in </w:t>
            </w:r>
            <w:r>
              <w:rPr>
                <w:color w:val="000000" w:themeColor="text1"/>
              </w:rPr>
              <w:t>t</w:t>
            </w:r>
            <w:r w:rsidR="00ED51B0" w:rsidRPr="00BC7B8E">
              <w:rPr>
                <w:color w:val="000000" w:themeColor="text1"/>
              </w:rPr>
              <w:t xml:space="preserve">he </w:t>
            </w:r>
            <w:r w:rsidR="000F11F3">
              <w:rPr>
                <w:color w:val="000000" w:themeColor="text1"/>
              </w:rPr>
              <w:t>F</w:t>
            </w:r>
            <w:r w:rsidR="00ED51B0" w:rsidRPr="00BC7B8E">
              <w:rPr>
                <w:color w:val="000000" w:themeColor="text1"/>
              </w:rPr>
              <w:t xml:space="preserve">irst </w:t>
            </w:r>
            <w:r w:rsidR="000F11F3">
              <w:rPr>
                <w:color w:val="000000" w:themeColor="text1"/>
              </w:rPr>
              <w:t>D</w:t>
            </w:r>
            <w:r w:rsidR="00ED51B0" w:rsidRPr="00BC7B8E">
              <w:rPr>
                <w:color w:val="000000" w:themeColor="text1"/>
              </w:rPr>
              <w:t>egree</w:t>
            </w:r>
            <w:r>
              <w:rPr>
                <w:color w:val="000000" w:themeColor="text1"/>
              </w:rPr>
              <w:t xml:space="preserve"> (seven counts)</w:t>
            </w:r>
            <w:r w:rsidR="00ED51B0" w:rsidRPr="00BC7B8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T</w:t>
            </w:r>
            <w:r w:rsidR="00ED51B0" w:rsidRPr="00BC7B8E">
              <w:rPr>
                <w:color w:val="000000" w:themeColor="text1"/>
              </w:rPr>
              <w:t xml:space="preserve">heft in the </w:t>
            </w:r>
            <w:r>
              <w:rPr>
                <w:color w:val="000000" w:themeColor="text1"/>
              </w:rPr>
              <w:t>S</w:t>
            </w:r>
            <w:r w:rsidR="00ED51B0" w:rsidRPr="00BC7B8E">
              <w:rPr>
                <w:color w:val="000000" w:themeColor="text1"/>
              </w:rPr>
              <w:t>econd Degree and Possession of a Forged Instrument</w:t>
            </w:r>
            <w:r>
              <w:rPr>
                <w:color w:val="000000" w:themeColor="text1"/>
              </w:rPr>
              <w:t>. The jury’s finding of aggravating factors means Steenson can receive a sentence high than those set forth in the Alabama Sentencing Guidelines, according to Anderson.</w:t>
            </w:r>
          </w:p>
          <w:p w14:paraId="2DB7DA23" w14:textId="77777777" w:rsidR="00F13095" w:rsidRDefault="00F13095" w:rsidP="00F13095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</w:p>
          <w:p w14:paraId="3F3D0936" w14:textId="77777777" w:rsidR="00F13095" w:rsidRDefault="00F13095" w:rsidP="00F13095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After his guilty pleas,</w:t>
            </w:r>
            <w:r w:rsidR="00ED51B0" w:rsidRPr="00BC7B8E">
              <w:rPr>
                <w:color w:val="000000" w:themeColor="text1"/>
              </w:rPr>
              <w:t xml:space="preserve"> Steenson</w:t>
            </w:r>
            <w:r>
              <w:rPr>
                <w:color w:val="000000" w:themeColor="text1"/>
              </w:rPr>
              <w:t xml:space="preserve"> </w:t>
            </w:r>
            <w:r w:rsidR="00281772" w:rsidRPr="00BC7B8E">
              <w:rPr>
                <w:color w:val="000000" w:themeColor="text1"/>
              </w:rPr>
              <w:t>and Anderson agreed for</w:t>
            </w:r>
            <w:r w:rsidR="00ED51B0" w:rsidRPr="00BC7B8E">
              <w:rPr>
                <w:color w:val="000000" w:themeColor="text1"/>
              </w:rPr>
              <w:t xml:space="preserve"> a Morgan County jury</w:t>
            </w:r>
            <w:r w:rsidR="00281772" w:rsidRPr="00BC7B8E">
              <w:rPr>
                <w:color w:val="000000" w:themeColor="text1"/>
              </w:rPr>
              <w:t xml:space="preserve"> to</w:t>
            </w:r>
            <w:r w:rsidR="00ED51B0" w:rsidRPr="00BC7B8E">
              <w:rPr>
                <w:color w:val="000000" w:themeColor="text1"/>
              </w:rPr>
              <w:t xml:space="preserve"> hear the issue of whether sufficient aggravating factors existed to allow Circuit Judge Charles Elliott to </w:t>
            </w:r>
            <w:r w:rsidR="00EA0637" w:rsidRPr="00BC7B8E">
              <w:rPr>
                <w:color w:val="000000" w:themeColor="text1"/>
              </w:rPr>
              <w:t>make an upward departure from the Alabama Sentencing Guidelines. The departure was requested by Anderson prior to this week’s jury term in Morgan Circuit Court as is required by law.</w:t>
            </w:r>
          </w:p>
          <w:p w14:paraId="7C1C4C25" w14:textId="77777777" w:rsidR="00F13095" w:rsidRDefault="00F13095" w:rsidP="00F13095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</w:p>
          <w:p w14:paraId="4DBFA57F" w14:textId="6D22493E" w:rsidR="00EA0637" w:rsidRPr="00BC7B8E" w:rsidRDefault="000F11F3" w:rsidP="00F13095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According to Anderson, o</w:t>
            </w:r>
            <w:r w:rsidR="00EA0637" w:rsidRPr="00BC7B8E">
              <w:rPr>
                <w:color w:val="000000" w:themeColor="text1"/>
              </w:rPr>
              <w:t xml:space="preserve">nly a handful of cases in Alabama have resulted in jury verdicts on departure motions since the inception of the Alabama Sentencing Guidelines. It is believed by </w:t>
            </w:r>
            <w:r w:rsidR="00F13095">
              <w:rPr>
                <w:color w:val="000000" w:themeColor="text1"/>
              </w:rPr>
              <w:t>c</w:t>
            </w:r>
            <w:r w:rsidR="00EA0637" w:rsidRPr="00BC7B8E">
              <w:rPr>
                <w:color w:val="000000" w:themeColor="text1"/>
              </w:rPr>
              <w:t>ourt officials that this is the first instance where a separate trial on aggravators</w:t>
            </w:r>
            <w:r w:rsidR="00281772" w:rsidRPr="00BC7B8E">
              <w:rPr>
                <w:color w:val="000000" w:themeColor="text1"/>
              </w:rPr>
              <w:t xml:space="preserve"> was</w:t>
            </w:r>
            <w:r w:rsidR="00EA0637" w:rsidRPr="00BC7B8E">
              <w:rPr>
                <w:color w:val="000000" w:themeColor="text1"/>
              </w:rPr>
              <w:t xml:space="preserve"> held</w:t>
            </w:r>
            <w:r w:rsidR="00F13095">
              <w:rPr>
                <w:color w:val="000000" w:themeColor="text1"/>
              </w:rPr>
              <w:t>, Anderson said</w:t>
            </w:r>
            <w:r w:rsidR="00EA0637" w:rsidRPr="00BC7B8E">
              <w:rPr>
                <w:color w:val="000000" w:themeColor="text1"/>
              </w:rPr>
              <w:t xml:space="preserve">. A jury was struck to hear this issue on Wednesday and returned their verdict just after noon on Thursday.  </w:t>
            </w:r>
          </w:p>
          <w:p w14:paraId="52DB84FC" w14:textId="77777777" w:rsidR="00EA0637" w:rsidRPr="00BC7B8E" w:rsidRDefault="00EA0637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19957934" w14:textId="77777777" w:rsidR="00F13095" w:rsidRDefault="00EA0637" w:rsidP="00F13095">
            <w:pPr>
              <w:pStyle w:val="Normal1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</w:rPr>
              <w:t xml:space="preserve">The jury found four aggravating factors stemming from Steenson’s </w:t>
            </w:r>
            <w:r w:rsidR="000A4C67" w:rsidRPr="00BC7B8E">
              <w:rPr>
                <w:color w:val="000000" w:themeColor="text1"/>
              </w:rPr>
              <w:t xml:space="preserve">fraudulent business practices in his role as an owner and operator of Performance Auto Sales on Point Mallard Parkway. </w:t>
            </w:r>
          </w:p>
          <w:p w14:paraId="6535E00F" w14:textId="77777777" w:rsidR="00F13095" w:rsidRDefault="00F13095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0F9A0825" w14:textId="77777777" w:rsidR="00F13095" w:rsidRDefault="000A4C67" w:rsidP="00F13095">
            <w:pPr>
              <w:pStyle w:val="Normal1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</w:rPr>
              <w:lastRenderedPageBreak/>
              <w:t xml:space="preserve">First, his misconduct involved a taking or receipt of property of great monetary value or caused </w:t>
            </w:r>
            <w:r w:rsidR="000A7BCE" w:rsidRPr="00BC7B8E">
              <w:rPr>
                <w:color w:val="000000" w:themeColor="text1"/>
              </w:rPr>
              <w:t xml:space="preserve">a great monetary loss to the victims. The </w:t>
            </w:r>
            <w:r w:rsidR="00F13095">
              <w:rPr>
                <w:color w:val="000000" w:themeColor="text1"/>
              </w:rPr>
              <w:t>s</w:t>
            </w:r>
            <w:r w:rsidR="0024155B" w:rsidRPr="00BC7B8E">
              <w:rPr>
                <w:color w:val="000000" w:themeColor="text1"/>
              </w:rPr>
              <w:t>tate</w:t>
            </w:r>
            <w:r w:rsidR="000A7BCE" w:rsidRPr="00BC7B8E">
              <w:rPr>
                <w:color w:val="000000" w:themeColor="text1"/>
              </w:rPr>
              <w:t xml:space="preserve"> argued that victims were defrauded out of more than $134,000 by Steenson.</w:t>
            </w:r>
          </w:p>
          <w:p w14:paraId="33E37439" w14:textId="77777777" w:rsidR="000F11F3" w:rsidRDefault="000F11F3" w:rsidP="000F11F3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</w:p>
          <w:p w14:paraId="40582C03" w14:textId="5760B3ED" w:rsidR="00F13095" w:rsidRDefault="000A7BCE" w:rsidP="000F11F3">
            <w:pPr>
              <w:pStyle w:val="Normal1"/>
              <w:ind w:left="0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</w:rPr>
              <w:t>Second, the offense involved a high degree of sophistication or planning.</w:t>
            </w:r>
            <w:r w:rsidR="00F13095">
              <w:rPr>
                <w:color w:val="000000" w:themeColor="text1"/>
              </w:rPr>
              <w:t xml:space="preserve"> </w:t>
            </w:r>
            <w:r w:rsidRPr="00BC7B8E">
              <w:rPr>
                <w:color w:val="000000" w:themeColor="text1"/>
              </w:rPr>
              <w:t>Third, Steenson violated a court order enjoining him form selling vehicles in the commission of the f</w:t>
            </w:r>
            <w:r w:rsidR="0024155B" w:rsidRPr="00BC7B8E">
              <w:rPr>
                <w:color w:val="000000" w:themeColor="text1"/>
              </w:rPr>
              <w:t>r</w:t>
            </w:r>
            <w:r w:rsidRPr="00BC7B8E">
              <w:rPr>
                <w:color w:val="000000" w:themeColor="text1"/>
              </w:rPr>
              <w:t>aud</w:t>
            </w:r>
            <w:r w:rsidR="00F13095">
              <w:rPr>
                <w:color w:val="000000" w:themeColor="text1"/>
              </w:rPr>
              <w:t>.</w:t>
            </w:r>
            <w:r w:rsidRPr="00BC7B8E">
              <w:rPr>
                <w:color w:val="000000" w:themeColor="text1"/>
              </w:rPr>
              <w:t xml:space="preserve"> </w:t>
            </w:r>
            <w:r w:rsidR="00F13095">
              <w:rPr>
                <w:color w:val="000000" w:themeColor="text1"/>
              </w:rPr>
              <w:t>A</w:t>
            </w:r>
            <w:r w:rsidRPr="00BC7B8E">
              <w:rPr>
                <w:color w:val="000000" w:themeColor="text1"/>
              </w:rPr>
              <w:t>nd, finally,</w:t>
            </w:r>
            <w:r w:rsidR="0024155B" w:rsidRPr="00BC7B8E">
              <w:rPr>
                <w:color w:val="000000" w:themeColor="text1"/>
              </w:rPr>
              <w:t xml:space="preserve"> Steenson’s conduct posed a danger to the public.</w:t>
            </w:r>
          </w:p>
          <w:p w14:paraId="5803FB27" w14:textId="77777777" w:rsidR="00F13095" w:rsidRDefault="00F13095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6389A862" w14:textId="0F1E1444" w:rsidR="007611B8" w:rsidRPr="00BC7B8E" w:rsidRDefault="0024155B" w:rsidP="00F13095">
            <w:pPr>
              <w:pStyle w:val="Normal1"/>
              <w:contextualSpacing w:val="0"/>
              <w:rPr>
                <w:color w:val="000000" w:themeColor="text1"/>
              </w:rPr>
            </w:pPr>
            <w:r w:rsidRPr="00BC7B8E">
              <w:rPr>
                <w:color w:val="000000" w:themeColor="text1"/>
              </w:rPr>
              <w:t>Thursday’s jury verdict was a rejection of the Alabama Sentencing Guidelines in this case and paves the way for Elliott to sentence under the full range of punishment available</w:t>
            </w:r>
            <w:r w:rsidR="00281772" w:rsidRPr="00BC7B8E">
              <w:rPr>
                <w:color w:val="000000" w:themeColor="text1"/>
              </w:rPr>
              <w:t xml:space="preserve"> for</w:t>
            </w:r>
            <w:r w:rsidRPr="00BC7B8E">
              <w:rPr>
                <w:color w:val="000000" w:themeColor="text1"/>
              </w:rPr>
              <w:t xml:space="preserve"> these charges</w:t>
            </w:r>
            <w:r w:rsidR="00F13095">
              <w:rPr>
                <w:color w:val="000000" w:themeColor="text1"/>
              </w:rPr>
              <w:t>,</w:t>
            </w:r>
            <w:r w:rsidRPr="00BC7B8E">
              <w:rPr>
                <w:color w:val="000000" w:themeColor="text1"/>
              </w:rPr>
              <w:t xml:space="preserve"> the most serious of which are Class B felonies. Steenson’s prior conviction in Federal Court for Bank Fraud is expected to elevate his range of punishment for these offenses under the Alabama Habitual Felony Offender Act as well. </w:t>
            </w:r>
            <w:r w:rsidR="008B0C22" w:rsidRPr="00BC7B8E">
              <w:rPr>
                <w:color w:val="000000" w:themeColor="text1"/>
              </w:rPr>
              <w:t>Steenson will face a maximum sentence of 99 years or life on his most serious convictions.</w:t>
            </w:r>
          </w:p>
          <w:p w14:paraId="13705F3E" w14:textId="59027B61" w:rsidR="008B0C22" w:rsidRPr="00BC7B8E" w:rsidRDefault="008B0C22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4F44185F" w14:textId="33C637E3" w:rsidR="008B0C22" w:rsidRPr="00BC7B8E" w:rsidRDefault="00F13095" w:rsidP="00F13095">
            <w:pPr>
              <w:pStyle w:val="Normal1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Anderson said </w:t>
            </w:r>
            <w:r w:rsidR="008B0C22" w:rsidRPr="00BC7B8E">
              <w:rPr>
                <w:color w:val="000000" w:themeColor="text1"/>
              </w:rPr>
              <w:t>Steenson will have an opportunity to file mitigating factors for sentencing</w:t>
            </w:r>
            <w:r>
              <w:rPr>
                <w:color w:val="000000" w:themeColor="text1"/>
              </w:rPr>
              <w:t>,</w:t>
            </w:r>
            <w:r w:rsidR="008B0C22" w:rsidRPr="00BC7B8E">
              <w:rPr>
                <w:color w:val="000000" w:themeColor="text1"/>
              </w:rPr>
              <w:t xml:space="preserve"> which may also be considered by Judge Elliott on April 29, when he conduct’s Steenson’s sentencing</w:t>
            </w:r>
            <w:r w:rsidR="002B7BD9" w:rsidRPr="00BC7B8E">
              <w:rPr>
                <w:color w:val="000000" w:themeColor="text1"/>
              </w:rPr>
              <w:t xml:space="preserve"> hearing</w:t>
            </w:r>
            <w:r w:rsidR="008B0C22" w:rsidRPr="00BC7B8E">
              <w:rPr>
                <w:color w:val="000000" w:themeColor="text1"/>
              </w:rPr>
              <w:t>.</w:t>
            </w:r>
          </w:p>
          <w:p w14:paraId="330D9CD5" w14:textId="77777777" w:rsidR="0037127E" w:rsidRPr="00BC7B8E" w:rsidRDefault="0037127E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2C465A11" w14:textId="13199DA8" w:rsidR="0037127E" w:rsidRPr="00BC7B8E" w:rsidRDefault="000F11F3" w:rsidP="000F11F3">
            <w:pPr>
              <w:pStyle w:val="Normal1"/>
              <w:contextualSpacing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###</w:t>
            </w:r>
          </w:p>
          <w:p w14:paraId="21FA0AFB" w14:textId="77777777" w:rsidR="0037127E" w:rsidRPr="00BC7B8E" w:rsidRDefault="0037127E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1083F9A2" w14:textId="77777777" w:rsidR="0037127E" w:rsidRPr="00BC7B8E" w:rsidRDefault="0037127E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320C630A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20405066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5E5923C2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1CBDA6FD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32BC05C3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7235D91C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16D70E1F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534573FB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2A7F5148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715DFC9D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3DB0FB7C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49ACA5FA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7F68512A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  <w:p w14:paraId="5FFEC74B" w14:textId="77777777" w:rsidR="00220DBD" w:rsidRPr="00BC7B8E" w:rsidRDefault="00220DBD" w:rsidP="00F13095">
            <w:pPr>
              <w:pStyle w:val="Normal1"/>
              <w:contextualSpacing w:val="0"/>
              <w:rPr>
                <w:color w:val="000000" w:themeColor="text1"/>
              </w:rPr>
            </w:pPr>
          </w:p>
        </w:tc>
      </w:tr>
    </w:tbl>
    <w:p w14:paraId="7B8545BE" w14:textId="77777777" w:rsidR="00220DBD" w:rsidRDefault="00220DBD">
      <w:pPr>
        <w:pStyle w:val="Normal1"/>
        <w:ind w:left="0"/>
        <w:contextualSpacing w:val="0"/>
      </w:pPr>
    </w:p>
    <w:p w14:paraId="42D177F2" w14:textId="77777777" w:rsidR="00220DBD" w:rsidRDefault="00220DBD">
      <w:pPr>
        <w:pStyle w:val="Normal1"/>
        <w:contextualSpacing w:val="0"/>
      </w:pPr>
    </w:p>
    <w:p w14:paraId="78F3445F" w14:textId="77777777" w:rsidR="00220DBD" w:rsidRDefault="00220DBD">
      <w:pPr>
        <w:pStyle w:val="Normal1"/>
        <w:contextualSpacing w:val="0"/>
      </w:pPr>
    </w:p>
    <w:p w14:paraId="2792D8F7" w14:textId="77777777" w:rsidR="00220DBD" w:rsidRDefault="00220DBD">
      <w:pPr>
        <w:pStyle w:val="Normal1"/>
        <w:contextualSpacing w:val="0"/>
      </w:pPr>
    </w:p>
    <w:p w14:paraId="479A374C" w14:textId="77777777" w:rsidR="00220DBD" w:rsidRDefault="00220DBD">
      <w:pPr>
        <w:pStyle w:val="Normal1"/>
        <w:contextualSpacing w:val="0"/>
      </w:pPr>
    </w:p>
    <w:p w14:paraId="024847F6" w14:textId="77777777" w:rsidR="00220DBD" w:rsidRDefault="00220DBD">
      <w:pPr>
        <w:pStyle w:val="Normal1"/>
        <w:contextualSpacing w:val="0"/>
      </w:pPr>
    </w:p>
    <w:p w14:paraId="29FD6AAE" w14:textId="77777777" w:rsidR="00220DBD" w:rsidRDefault="00220DBD">
      <w:pPr>
        <w:pStyle w:val="Normal1"/>
        <w:contextualSpacing w:val="0"/>
      </w:pPr>
    </w:p>
    <w:p w14:paraId="79F26588" w14:textId="77777777" w:rsidR="00220DBD" w:rsidRDefault="00220DBD">
      <w:pPr>
        <w:pStyle w:val="Normal1"/>
        <w:contextualSpacing w:val="0"/>
      </w:pPr>
    </w:p>
    <w:p w14:paraId="632E1ED2" w14:textId="77777777" w:rsidR="00220DBD" w:rsidRDefault="00220DBD">
      <w:pPr>
        <w:pStyle w:val="Normal1"/>
        <w:contextualSpacing w:val="0"/>
      </w:pPr>
    </w:p>
    <w:p w14:paraId="7B614769" w14:textId="77777777" w:rsidR="00220DBD" w:rsidRDefault="00220DBD">
      <w:pPr>
        <w:pStyle w:val="Normal1"/>
        <w:contextualSpacing w:val="0"/>
      </w:pPr>
    </w:p>
    <w:p w14:paraId="5DFD8147" w14:textId="77777777" w:rsidR="00220DBD" w:rsidRDefault="00220DBD">
      <w:pPr>
        <w:pStyle w:val="Normal1"/>
        <w:contextualSpacing w:val="0"/>
      </w:pPr>
    </w:p>
    <w:p w14:paraId="61555DA1" w14:textId="77777777" w:rsidR="00220DBD" w:rsidRDefault="00220DBD">
      <w:pPr>
        <w:pStyle w:val="Normal1"/>
        <w:contextualSpacing w:val="0"/>
      </w:pPr>
    </w:p>
    <w:p w14:paraId="22F5C55A" w14:textId="77777777" w:rsidR="00220DBD" w:rsidRDefault="00220DBD">
      <w:pPr>
        <w:pStyle w:val="Normal1"/>
        <w:contextualSpacing w:val="0"/>
      </w:pPr>
    </w:p>
    <w:p w14:paraId="49A0DBB2" w14:textId="77777777" w:rsidR="00220DBD" w:rsidRDefault="00220DBD">
      <w:pPr>
        <w:pStyle w:val="Normal1"/>
        <w:contextualSpacing w:val="0"/>
      </w:pPr>
    </w:p>
    <w:p w14:paraId="3B1918E0" w14:textId="77777777" w:rsidR="00220DBD" w:rsidRDefault="00220DBD">
      <w:pPr>
        <w:pStyle w:val="Normal1"/>
        <w:contextualSpacing w:val="0"/>
      </w:pPr>
    </w:p>
    <w:p w14:paraId="4BF7476F" w14:textId="3AC71C2F" w:rsidR="00BC45D5" w:rsidRDefault="00BC45D5" w:rsidP="00BC45D5">
      <w:pPr>
        <w:pStyle w:val="Normal1"/>
        <w:contextualSpacing w:val="0"/>
        <w:jc w:val="center"/>
      </w:pPr>
      <w:r>
        <w:tab/>
      </w:r>
    </w:p>
    <w:p w14:paraId="30DD7465" w14:textId="77777777" w:rsidR="00BC45D5" w:rsidRDefault="00BC45D5" w:rsidP="00BC45D5">
      <w:pPr>
        <w:pStyle w:val="Normal1"/>
        <w:contextualSpacing w:val="0"/>
        <w:jc w:val="center"/>
      </w:pPr>
    </w:p>
    <w:tbl>
      <w:tblPr>
        <w:tblStyle w:val="1"/>
        <w:tblpPr w:leftFromText="180" w:rightFromText="180" w:vertAnchor="text" w:horzAnchor="margin" w:tblpY="231"/>
        <w:tblW w:w="11334" w:type="dxa"/>
        <w:tblLayout w:type="fixed"/>
        <w:tblLook w:val="0600" w:firstRow="0" w:lastRow="0" w:firstColumn="0" w:lastColumn="0" w:noHBand="1" w:noVBand="1"/>
      </w:tblPr>
      <w:tblGrid>
        <w:gridCol w:w="10977"/>
        <w:gridCol w:w="357"/>
      </w:tblGrid>
      <w:tr w:rsidR="00BC45D5" w14:paraId="2719B64A" w14:textId="77777777" w:rsidTr="00BC45D5">
        <w:trPr>
          <w:trHeight w:val="448"/>
        </w:trPr>
        <w:tc>
          <w:tcPr>
            <w:tcW w:w="10977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3892" w14:textId="77777777" w:rsidR="00BC45D5" w:rsidRDefault="00BC45D5" w:rsidP="00BC45D5">
            <w:pPr>
              <w:pStyle w:val="Heading5"/>
              <w:contextualSpacing w:val="0"/>
              <w:jc w:val="center"/>
            </w:pPr>
            <w:r>
              <w:t xml:space="preserve">Morgan County District Attorney’s Office  </w:t>
            </w:r>
            <w:r>
              <w:rPr>
                <w:b w:val="0"/>
                <w:color w:val="E4E4E6"/>
              </w:rPr>
              <w:t>• P.O. Box 1727, Decatur, AL 35602 • www.morgancountyda.com</w:t>
            </w:r>
          </w:p>
          <w:p w14:paraId="697846F3" w14:textId="77777777" w:rsidR="00BC45D5" w:rsidRDefault="00BC45D5" w:rsidP="00BC45D5">
            <w:pPr>
              <w:pStyle w:val="Normal1"/>
              <w:ind w:left="0"/>
              <w:contextualSpacing w:val="0"/>
              <w:jc w:val="center"/>
            </w:pPr>
          </w:p>
        </w:tc>
        <w:tc>
          <w:tcPr>
            <w:tcW w:w="357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D9AE" w14:textId="77777777" w:rsidR="00BC45D5" w:rsidRDefault="00BC45D5" w:rsidP="00BC45D5">
            <w:pPr>
              <w:pStyle w:val="Normal1"/>
              <w:spacing w:line="276" w:lineRule="auto"/>
              <w:ind w:left="0" w:right="90"/>
              <w:contextualSpacing w:val="0"/>
              <w:jc w:val="right"/>
            </w:pPr>
          </w:p>
        </w:tc>
      </w:tr>
      <w:tr w:rsidR="00BC45D5" w14:paraId="4031FE05" w14:textId="77777777" w:rsidTr="00BC45D5">
        <w:trPr>
          <w:trHeight w:val="15"/>
        </w:trPr>
        <w:tc>
          <w:tcPr>
            <w:tcW w:w="10977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F2B3" w14:textId="77777777" w:rsidR="00BC45D5" w:rsidRDefault="00BC45D5" w:rsidP="00BC45D5">
            <w:pPr>
              <w:pStyle w:val="Heading5"/>
              <w:contextualSpacing w:val="0"/>
            </w:pPr>
          </w:p>
        </w:tc>
        <w:tc>
          <w:tcPr>
            <w:tcW w:w="357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913E" w14:textId="77777777" w:rsidR="00BC45D5" w:rsidRDefault="00BC45D5" w:rsidP="00BC45D5">
            <w:pPr>
              <w:pStyle w:val="Normal1"/>
              <w:spacing w:line="276" w:lineRule="auto"/>
              <w:ind w:left="0" w:right="90"/>
              <w:contextualSpacing w:val="0"/>
            </w:pPr>
          </w:p>
        </w:tc>
      </w:tr>
    </w:tbl>
    <w:p w14:paraId="58A43933" w14:textId="77777777" w:rsidR="00BC45D5" w:rsidRDefault="00BC45D5" w:rsidP="00BC45D5">
      <w:pPr>
        <w:pStyle w:val="Normal1"/>
        <w:tabs>
          <w:tab w:val="left" w:pos="1203"/>
        </w:tabs>
        <w:spacing w:line="276" w:lineRule="auto"/>
        <w:ind w:left="0"/>
        <w:contextualSpacing w:val="0"/>
      </w:pPr>
    </w:p>
    <w:sectPr w:rsidR="00BC45D5" w:rsidSect="0002445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432" w:bottom="1008" w:left="432" w:header="57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1422" w14:textId="77777777" w:rsidR="00AE3EE6" w:rsidRDefault="00AE3EE6" w:rsidP="00220DBD">
      <w:r>
        <w:separator/>
      </w:r>
    </w:p>
  </w:endnote>
  <w:endnote w:type="continuationSeparator" w:id="0">
    <w:p w14:paraId="689D6732" w14:textId="77777777" w:rsidR="00AE3EE6" w:rsidRDefault="00AE3EE6" w:rsidP="002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F180" w14:textId="2E9EC698" w:rsidR="007611B8" w:rsidRDefault="007611B8">
    <w:pPr>
      <w:pStyle w:val="Normal1"/>
      <w:contextualSpacing w:val="0"/>
      <w:jc w:val="center"/>
    </w:pPr>
  </w:p>
  <w:p w14:paraId="45EE6B10" w14:textId="09FDF909" w:rsidR="007611B8" w:rsidRDefault="007611B8" w:rsidP="00281772">
    <w:pPr>
      <w:pStyle w:val="Normal1"/>
      <w:tabs>
        <w:tab w:val="left" w:pos="1203"/>
      </w:tabs>
      <w:spacing w:line="276" w:lineRule="auto"/>
      <w:ind w:left="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89D7" w14:textId="77777777" w:rsidR="00AE3EE6" w:rsidRDefault="00AE3EE6" w:rsidP="00220DBD">
      <w:r>
        <w:separator/>
      </w:r>
    </w:p>
  </w:footnote>
  <w:footnote w:type="continuationSeparator" w:id="0">
    <w:p w14:paraId="46340F54" w14:textId="77777777" w:rsidR="00AE3EE6" w:rsidRDefault="00AE3EE6" w:rsidP="0022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64D5" w14:textId="77777777" w:rsidR="0002445B" w:rsidRDefault="00024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2353" w14:textId="77777777" w:rsidR="007611B8" w:rsidRDefault="007611B8">
    <w:pPr>
      <w:pStyle w:val="Header"/>
    </w:pPr>
  </w:p>
  <w:p w14:paraId="06691779" w14:textId="77777777" w:rsidR="007611B8" w:rsidRDefault="007611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1306" w14:textId="77777777" w:rsidR="0002445B" w:rsidRDefault="00024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BD"/>
    <w:rsid w:val="0002445B"/>
    <w:rsid w:val="000574C0"/>
    <w:rsid w:val="000A4C67"/>
    <w:rsid w:val="000A7BCE"/>
    <w:rsid w:val="000B24B7"/>
    <w:rsid w:val="000F11F3"/>
    <w:rsid w:val="00202BAE"/>
    <w:rsid w:val="00220DBD"/>
    <w:rsid w:val="0024155B"/>
    <w:rsid w:val="0024181E"/>
    <w:rsid w:val="00281772"/>
    <w:rsid w:val="002B7BD9"/>
    <w:rsid w:val="002E52DF"/>
    <w:rsid w:val="0037127E"/>
    <w:rsid w:val="00383BCD"/>
    <w:rsid w:val="003A2538"/>
    <w:rsid w:val="003E4E0E"/>
    <w:rsid w:val="00407CD4"/>
    <w:rsid w:val="004A162D"/>
    <w:rsid w:val="004A2E1C"/>
    <w:rsid w:val="00533E82"/>
    <w:rsid w:val="005913D7"/>
    <w:rsid w:val="005B05B1"/>
    <w:rsid w:val="005B1997"/>
    <w:rsid w:val="007611B8"/>
    <w:rsid w:val="007D74B8"/>
    <w:rsid w:val="00893EBE"/>
    <w:rsid w:val="008B0C22"/>
    <w:rsid w:val="008F0590"/>
    <w:rsid w:val="00AE3EE6"/>
    <w:rsid w:val="00B90C23"/>
    <w:rsid w:val="00BC45D5"/>
    <w:rsid w:val="00BC7B8E"/>
    <w:rsid w:val="00BD1C22"/>
    <w:rsid w:val="00E1593B"/>
    <w:rsid w:val="00EA0637"/>
    <w:rsid w:val="00EB5815"/>
    <w:rsid w:val="00ED51B0"/>
    <w:rsid w:val="00F13095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1F22C"/>
  <w15:docId w15:val="{8EF6806A-CDFB-43E4-92CE-CE1BAC6B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D7"/>
  </w:style>
  <w:style w:type="paragraph" w:styleId="Heading1">
    <w:name w:val="heading 1"/>
    <w:basedOn w:val="Normal1"/>
    <w:next w:val="Normal1"/>
    <w:rsid w:val="00220DBD"/>
    <w:pPr>
      <w:outlineLvl w:val="0"/>
    </w:pPr>
    <w:rPr>
      <w:color w:val="9AA9A1"/>
      <w:sz w:val="48"/>
    </w:rPr>
  </w:style>
  <w:style w:type="paragraph" w:styleId="Heading2">
    <w:name w:val="heading 2"/>
    <w:basedOn w:val="Normal1"/>
    <w:next w:val="Normal1"/>
    <w:rsid w:val="00220DBD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1"/>
    <w:next w:val="Normal1"/>
    <w:rsid w:val="00220DBD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1"/>
    <w:next w:val="Normal1"/>
    <w:rsid w:val="00220DBD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1"/>
    <w:next w:val="Normal1"/>
    <w:rsid w:val="00220DBD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220DBD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0DBD"/>
  </w:style>
  <w:style w:type="paragraph" w:styleId="Title">
    <w:name w:val="Title"/>
    <w:basedOn w:val="Normal1"/>
    <w:next w:val="Normal1"/>
    <w:rsid w:val="00220DBD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1"/>
    <w:next w:val="Normal1"/>
    <w:rsid w:val="00220DBD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4">
    <w:name w:val="4"/>
    <w:basedOn w:val="TableNormal"/>
    <w:rsid w:val="00220DBD"/>
    <w:tblPr>
      <w:tblStyleRowBandSize w:val="1"/>
      <w:tblStyleColBandSize w:val="1"/>
    </w:tblPr>
  </w:style>
  <w:style w:type="table" w:customStyle="1" w:styleId="3">
    <w:name w:val="3"/>
    <w:basedOn w:val="TableNormal"/>
    <w:rsid w:val="00220DBD"/>
    <w:tblPr>
      <w:tblStyleRowBandSize w:val="1"/>
      <w:tblStyleColBandSize w:val="1"/>
    </w:tblPr>
  </w:style>
  <w:style w:type="table" w:customStyle="1" w:styleId="2">
    <w:name w:val="2"/>
    <w:basedOn w:val="TableNormal"/>
    <w:rsid w:val="00220DBD"/>
    <w:tblPr>
      <w:tblStyleRowBandSize w:val="1"/>
      <w:tblStyleColBandSize w:val="1"/>
    </w:tblPr>
  </w:style>
  <w:style w:type="table" w:customStyle="1" w:styleId="1">
    <w:name w:val="1"/>
    <w:basedOn w:val="TableNormal"/>
    <w:rsid w:val="00220DBD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02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AE"/>
  </w:style>
  <w:style w:type="paragraph" w:styleId="Footer">
    <w:name w:val="footer"/>
    <w:basedOn w:val="Normal"/>
    <w:link w:val="FooterChar"/>
    <w:uiPriority w:val="99"/>
    <w:unhideWhenUsed/>
    <w:rsid w:val="00202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RoundUp Release.docx</vt:lpstr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RoundUp Release.docx</dc:title>
  <dc:creator>Stacy Adams</dc:creator>
  <cp:lastModifiedBy>Jennifer Sharp</cp:lastModifiedBy>
  <cp:revision>2</cp:revision>
  <cp:lastPrinted>2020-02-06T21:28:00Z</cp:lastPrinted>
  <dcterms:created xsi:type="dcterms:W3CDTF">2020-02-07T16:40:00Z</dcterms:created>
  <dcterms:modified xsi:type="dcterms:W3CDTF">2020-02-07T16:40:00Z</dcterms:modified>
</cp:coreProperties>
</file>